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960"/>
        </w:tabs>
        <w:spacing w:before="0" w:beforeAutospacing="0" w:after="0" w:afterAutospacing="0" w:line="900" w:lineRule="exact"/>
        <w:ind w:left="482"/>
        <w:jc w:val="center"/>
        <w:rPr>
          <w:rFonts w:ascii="黑体" w:eastAsia="黑体" w:cs="宋体"/>
          <w:color w:val="000000"/>
          <w:sz w:val="32"/>
          <w:szCs w:val="32"/>
        </w:rPr>
      </w:pPr>
    </w:p>
    <w:p>
      <w:pPr>
        <w:pStyle w:val="8"/>
        <w:tabs>
          <w:tab w:val="left" w:pos="960"/>
        </w:tabs>
        <w:spacing w:before="0" w:beforeAutospacing="0" w:after="0" w:afterAutospacing="0" w:line="900" w:lineRule="exact"/>
        <w:ind w:left="482"/>
        <w:jc w:val="center"/>
        <w:rPr>
          <w:rFonts w:ascii="华文中宋" w:eastAsia="华文中宋" w:cs="宋体"/>
          <w:color w:val="000000"/>
          <w:sz w:val="96"/>
          <w:szCs w:val="96"/>
        </w:rPr>
      </w:pPr>
    </w:p>
    <w:p>
      <w:pPr>
        <w:pStyle w:val="8"/>
        <w:tabs>
          <w:tab w:val="left" w:pos="960"/>
        </w:tabs>
        <w:spacing w:before="0" w:beforeAutospacing="0" w:after="0" w:afterAutospacing="0" w:line="940" w:lineRule="exact"/>
        <w:rPr>
          <w:rFonts w:ascii="华文中宋" w:eastAsia="华文中宋" w:cs="宋体"/>
          <w:b/>
          <w:bCs/>
          <w:color w:val="FF0000"/>
          <w:spacing w:val="174"/>
          <w:sz w:val="96"/>
          <w:szCs w:val="96"/>
        </w:rPr>
      </w:pPr>
      <w:r>
        <w:rPr>
          <w:rFonts w:hint="eastAsia" w:ascii="华文中宋" w:eastAsia="华文中宋" w:cs="宋体"/>
          <w:b/>
          <w:bCs/>
          <w:color w:val="FF0000"/>
          <w:spacing w:val="174"/>
          <w:sz w:val="96"/>
          <w:szCs w:val="96"/>
        </w:rPr>
        <w:t>教育统计公报</w:t>
      </w:r>
    </w:p>
    <w:p>
      <w:pPr>
        <w:pStyle w:val="8"/>
        <w:tabs>
          <w:tab w:val="left" w:pos="960"/>
        </w:tabs>
        <w:spacing w:before="0" w:beforeAutospacing="0" w:after="0" w:afterAutospacing="0" w:line="800" w:lineRule="exact"/>
        <w:ind w:left="482"/>
        <w:jc w:val="center"/>
        <w:rPr>
          <w:rFonts w:ascii="华文中宋" w:eastAsia="华文中宋" w:cs="宋体"/>
          <w:sz w:val="44"/>
          <w:szCs w:val="21"/>
        </w:rPr>
      </w:pPr>
    </w:p>
    <w:p>
      <w:pPr>
        <w:pStyle w:val="8"/>
        <w:tabs>
          <w:tab w:val="left" w:pos="960"/>
        </w:tabs>
        <w:spacing w:before="0" w:beforeAutospacing="0" w:after="0" w:afterAutospacing="0" w:line="480" w:lineRule="exact"/>
        <w:jc w:val="center"/>
        <w:rPr>
          <w:rFonts w:ascii="楷体_GB2312" w:eastAsia="楷体_GB2312" w:cs="宋体"/>
          <w:sz w:val="32"/>
          <w:szCs w:val="21"/>
        </w:rPr>
      </w:pPr>
      <w:r>
        <w:rPr>
          <w:rFonts w:hint="eastAsia" w:ascii="楷体_GB2312" w:eastAsia="楷体_GB2312" w:cs="宋体"/>
          <w:sz w:val="32"/>
          <w:szCs w:val="21"/>
        </w:rPr>
        <w:t xml:space="preserve">辽宁省教育厅                      </w:t>
      </w:r>
      <w:r>
        <w:rPr>
          <w:rFonts w:hint="eastAsia" w:ascii="楷体_GB2312" w:eastAsia="楷体_GB2312" w:cs="宋体"/>
          <w:color w:val="FF0000"/>
          <w:sz w:val="32"/>
          <w:szCs w:val="21"/>
        </w:rPr>
        <w:t>2022年</w:t>
      </w:r>
      <w:r>
        <w:rPr>
          <w:rFonts w:ascii="楷体_GB2312" w:eastAsia="楷体_GB2312" w:cs="宋体"/>
          <w:color w:val="FF0000"/>
          <w:sz w:val="32"/>
          <w:szCs w:val="21"/>
        </w:rPr>
        <w:t>7</w:t>
      </w:r>
      <w:r>
        <w:rPr>
          <w:rFonts w:hint="eastAsia" w:ascii="楷体_GB2312" w:eastAsia="楷体_GB2312" w:cs="宋体"/>
          <w:color w:val="FF0000"/>
          <w:sz w:val="32"/>
          <w:szCs w:val="21"/>
        </w:rPr>
        <w:t>月</w:t>
      </w:r>
      <w:r>
        <w:rPr>
          <w:rFonts w:ascii="楷体_GB2312" w:eastAsia="楷体_GB2312" w:cs="宋体"/>
          <w:color w:val="FF0000"/>
          <w:sz w:val="32"/>
          <w:szCs w:val="21"/>
        </w:rPr>
        <w:t>5</w:t>
      </w:r>
      <w:r>
        <w:rPr>
          <w:rFonts w:hint="eastAsia" w:ascii="楷体_GB2312" w:eastAsia="楷体_GB2312" w:cs="宋体"/>
          <w:color w:val="FF0000"/>
          <w:sz w:val="32"/>
          <w:szCs w:val="21"/>
        </w:rPr>
        <w:t>日</w:t>
      </w:r>
    </w:p>
    <w:p>
      <w:pPr>
        <w:pStyle w:val="8"/>
        <w:tabs>
          <w:tab w:val="left" w:pos="960"/>
        </w:tabs>
        <w:spacing w:before="0" w:beforeAutospacing="0" w:after="0" w:afterAutospacing="0" w:line="200" w:lineRule="exact"/>
        <w:jc w:val="center"/>
        <w:rPr>
          <w:rFonts w:ascii="楷体_GB2312" w:eastAsia="楷体_GB2312" w:cs="宋体"/>
          <w:sz w:val="32"/>
          <w:szCs w:val="21"/>
        </w:rPr>
      </w:pPr>
    </w:p>
    <w:p>
      <w:pPr>
        <w:pStyle w:val="8"/>
        <w:pBdr>
          <w:top w:val="single" w:color="FF0000" w:sz="18" w:space="1"/>
        </w:pBdr>
        <w:tabs>
          <w:tab w:val="left" w:pos="960"/>
        </w:tabs>
        <w:spacing w:before="0" w:beforeAutospacing="0" w:after="0" w:afterAutospacing="0" w:line="200" w:lineRule="exact"/>
        <w:jc w:val="center"/>
        <w:rPr>
          <w:rFonts w:ascii="楷体_GB2312" w:eastAsia="楷体_GB2312" w:cs="宋体"/>
          <w:sz w:val="32"/>
          <w:szCs w:val="21"/>
        </w:rPr>
      </w:pPr>
    </w:p>
    <w:p>
      <w:pPr>
        <w:pStyle w:val="8"/>
        <w:widowControl w:val="0"/>
        <w:tabs>
          <w:tab w:val="left" w:pos="960"/>
        </w:tabs>
        <w:spacing w:before="0" w:beforeAutospacing="0" w:after="0" w:afterAutospacing="0" w:line="520" w:lineRule="exact"/>
        <w:rPr>
          <w:rFonts w:ascii="楷体_GB2312" w:eastAsia="楷体_GB2312" w:cs="宋体"/>
          <w:sz w:val="30"/>
          <w:szCs w:val="21"/>
        </w:rPr>
      </w:pPr>
    </w:p>
    <w:p>
      <w:pPr>
        <w:pStyle w:val="8"/>
        <w:tabs>
          <w:tab w:val="left" w:pos="960"/>
        </w:tabs>
        <w:spacing w:before="0" w:beforeAutospacing="0" w:after="0" w:afterAutospacing="0" w:line="600" w:lineRule="exact"/>
        <w:jc w:val="center"/>
        <w:rPr>
          <w:rFonts w:ascii="方正小标宋简体" w:eastAsia="方正小标宋简体" w:cs="宋体"/>
          <w:sz w:val="44"/>
          <w:szCs w:val="21"/>
        </w:rPr>
      </w:pPr>
      <w:r>
        <w:rPr>
          <w:rFonts w:hint="eastAsia" w:ascii="方正小标宋简体" w:eastAsia="方正小标宋简体" w:cs="宋体"/>
          <w:sz w:val="44"/>
          <w:szCs w:val="21"/>
        </w:rPr>
        <w:t>2021年辽宁省普通高等学校科研活动</w:t>
      </w:r>
    </w:p>
    <w:p>
      <w:pPr>
        <w:pStyle w:val="8"/>
        <w:tabs>
          <w:tab w:val="left" w:pos="960"/>
        </w:tabs>
        <w:spacing w:before="0" w:beforeAutospacing="0" w:after="0" w:afterAutospacing="0" w:line="600" w:lineRule="exact"/>
        <w:jc w:val="center"/>
        <w:rPr>
          <w:rFonts w:ascii="方正小标宋简体" w:eastAsia="方正小标宋简体" w:cs="宋体"/>
          <w:sz w:val="44"/>
          <w:szCs w:val="21"/>
        </w:rPr>
      </w:pPr>
      <w:r>
        <w:rPr>
          <w:rFonts w:hint="eastAsia" w:ascii="方正小标宋简体" w:eastAsia="方正小标宋简体" w:cs="宋体"/>
          <w:sz w:val="44"/>
          <w:szCs w:val="21"/>
        </w:rPr>
        <w:t>统计公报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2021年，在省委省政府的坚强领导下，</w:t>
      </w:r>
      <w:r>
        <w:rPr>
          <w:rFonts w:hint="eastAsia" w:ascii="仿宋_GB2312" w:hAnsi="宋体" w:eastAsia="仿宋_GB2312"/>
          <w:sz w:val="32"/>
          <w:szCs w:val="32"/>
        </w:rPr>
        <w:t>全省教育系统以习近平新时代中国特色社会主义思想为指导，深入学习贯彻党的十九大和十九届历次全会精神，</w:t>
      </w:r>
      <w:r>
        <w:rPr>
          <w:rFonts w:ascii="仿宋_GB2312" w:hAnsi="宋体" w:eastAsia="仿宋_GB2312"/>
          <w:sz w:val="32"/>
          <w:szCs w:val="32"/>
        </w:rPr>
        <w:t>认真</w:t>
      </w:r>
      <w:bookmarkStart w:id="2" w:name="_GoBack"/>
      <w:bookmarkEnd w:id="2"/>
      <w:r>
        <w:rPr>
          <w:rFonts w:ascii="仿宋_GB2312" w:hAnsi="宋体" w:eastAsia="仿宋_GB2312"/>
          <w:sz w:val="32"/>
          <w:szCs w:val="32"/>
        </w:rPr>
        <w:t>贯彻落实党中央、国务院各项决策部署，</w:t>
      </w:r>
      <w:r>
        <w:rPr>
          <w:rFonts w:hint="eastAsia" w:ascii="仿宋_GB2312" w:eastAsia="仿宋_GB2312"/>
          <w:sz w:val="32"/>
          <w:szCs w:val="32"/>
        </w:rPr>
        <w:t>全省教育科研水平不断提升。</w:t>
      </w:r>
    </w:p>
    <w:p>
      <w:pPr>
        <w:spacing w:before="100" w:beforeAutospacing="1" w:after="100" w:afterAutospacing="1" w:line="400" w:lineRule="exact"/>
        <w:ind w:firstLine="793" w:firstLineChars="247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一、科技活动情况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我省参加科技活动的普通高校共计62所，其中包括38所普通本科高校，11所高职（专科）学校和13所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附属医院。</w:t>
      </w:r>
    </w:p>
    <w:p>
      <w:pPr>
        <w:spacing w:before="100" w:beforeAutospacing="1" w:after="100" w:afterAutospacing="1" w:line="400" w:lineRule="exact"/>
        <w:ind w:firstLine="787" w:firstLineChars="2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（一）科技活动人力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普通高校投入科技活动人员45267人，比上年减少438人，其中自然科学领域投入5270人，工程与技术领域投入20466人，医药科学领域投入16511人，农业科学领域投入1406人,其他领域投入1614人。在我省高校科技活动人员中科学家和工程师44811人，占99.0％。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全省共有48817名在读研究生参与科技项目研究，比上年增加2122人。</w:t>
      </w:r>
    </w:p>
    <w:p>
      <w:pPr>
        <w:spacing w:before="100" w:beforeAutospacing="1" w:after="100" w:afterAutospacing="1" w:line="400" w:lineRule="exact"/>
        <w:ind w:firstLine="787" w:firstLineChars="2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（二）科技活动课题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普通高校承担各类在研课题27581项，比上年增加1953项，其中国家级课题5815项，比上年减少38项。国家级课题中，重点研发计划项目778项，比上年减少349项；科技重大专项19项，比上年减少58项；国家自然科学基金5018项，比上年增加369项。</w:t>
      </w:r>
    </w:p>
    <w:p>
      <w:pPr>
        <w:spacing w:before="100" w:beforeAutospacing="1" w:after="100" w:afterAutospacing="1" w:line="400" w:lineRule="exact"/>
        <w:ind w:firstLine="796" w:firstLineChars="24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（三）科技活动经费</w:t>
      </w:r>
    </w:p>
    <w:p>
      <w:pPr>
        <w:spacing w:line="520" w:lineRule="exact"/>
        <w:ind w:left="160" w:leftChars="76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我省普通高校科技活动经费总收入84.71亿元，比上年增收4.35亿元，增长5.4％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其中政府资金41.36亿元，比上年减收2.56亿元，降低5.8％；企、事业单位委托经费37.42亿元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比上年增收6.0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亿元，增长19.1％；当年学校自筹科技活动经费5.17亿元，比上年增收0.82亿元，增长18.8％。2021年辽宁省高校科技活动经费总支出89.30亿元，比上年增支9.12亿元，增长11.4％。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我省普通高校科技活动经费总收入中，R&amp;D经费收入为71.38亿元，占总收入的84.3%；我省普通高校科技活动经费总支出中，R&amp;D经费支出为69.08亿元，占总支出的77.4%。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我省科技活动经费总收入中课题经费64.95亿元，比上年增收4.13亿元，增长6.8％；当年支出经费57.19亿元，比上年增支2.23亿元，增长4.1％。课题经费中国家级课题投入10.77亿元，支出10.65亿元。</w:t>
      </w:r>
    </w:p>
    <w:p>
      <w:pPr>
        <w:spacing w:before="100" w:beforeAutospacing="1" w:after="100" w:afterAutospacing="1" w:line="400" w:lineRule="exact"/>
        <w:ind w:firstLine="790" w:firstLineChars="24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（四）科技成果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普通高校出版科技著作404部，比上年增加41部；发表学术论文45833篇，比上年增加876篇；三大检索收录的论文中，SCI(科学引文索引)17569篇，EI（工程索引）11031篇，CPCI-S（科技会议录索引）707篇;技术转让合同数654项，当年实际收入1.46亿元；专利拥有数40987项，其中发明专利21097项，分别比上年增加6604项和3483项。2021年我省普通高校获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科技成果奖（省部级以上）</w:t>
      </w:r>
      <w:bookmarkEnd w:id="0"/>
      <w:r>
        <w:rPr>
          <w:rFonts w:ascii="仿宋_GB2312" w:eastAsia="仿宋_GB2312"/>
          <w:sz w:val="32"/>
          <w:szCs w:val="32"/>
        </w:rPr>
        <w:t>156</w:t>
      </w:r>
      <w:r>
        <w:rPr>
          <w:rFonts w:hint="eastAsia" w:ascii="仿宋_GB2312" w:eastAsia="仿宋_GB2312"/>
          <w:sz w:val="32"/>
          <w:szCs w:val="32"/>
        </w:rPr>
        <w:t>项，比上年减少1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项。</w:t>
      </w:r>
    </w:p>
    <w:p>
      <w:pPr>
        <w:spacing w:before="100" w:beforeAutospacing="1" w:after="100" w:afterAutospacing="1" w:line="400" w:lineRule="exact"/>
        <w:ind w:left="595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二、人文社科活动情况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我省参加人文社科活动的普通高校共有104所，其中普通本科高校61所，高职（专科）学校43所。</w:t>
      </w:r>
    </w:p>
    <w:p>
      <w:pPr>
        <w:spacing w:before="100" w:beforeAutospacing="1" w:after="100" w:afterAutospacing="1" w:line="400" w:lineRule="exact"/>
        <w:ind w:firstLine="790" w:firstLineChars="24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（一）人文社科活动人力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我省普通高校人文社科投入研究与发展人员21060人，比上年增加2267人，其中全时人数31人，非全时人数21029人。另有参与课题的研究生2158人。</w:t>
      </w:r>
    </w:p>
    <w:p>
      <w:pPr>
        <w:spacing w:before="100" w:beforeAutospacing="1" w:after="100" w:afterAutospacing="1" w:line="400" w:lineRule="exact"/>
        <w:ind w:firstLine="790" w:firstLineChars="24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（二）人文社科活动课题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我省普通高校在研人文社科课题16937项，比上年减少538项。其中国家社科基金项目856项，比上年增加41项；国家社科基金单列学科项目50项，比上年增加6项；国家自然科学基金项目223项，比上年减少39项。</w:t>
      </w:r>
    </w:p>
    <w:p>
      <w:pPr>
        <w:spacing w:before="100" w:beforeAutospacing="1" w:after="100" w:afterAutospacing="1" w:line="400" w:lineRule="exact"/>
        <w:ind w:firstLine="790" w:firstLineChars="24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（三）人文社科活动经费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普通高校人文社科活动经费总收入5.79亿元，比上年增收0.29亿元，增长5.3％；其中政府资金3.75亿元，比上年增收0.31亿元，增长8.9％；企、事业单位委托项目经费1.14亿元，比上年减收0.06亿元，降低5.1％。我省高校人文社科研究经费总支出5.75亿元，比上年增支0.94亿元，增长19.6％。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我省人文社科活动经费总收入中课题经费2.81亿元，比上年减收0.03亿元，降低1.1％；当年课题支出经费2.82亿元，比上年增支0.45亿元，增长18.7％。</w:t>
      </w:r>
      <w:bookmarkStart w:id="1" w:name="OLE_LINK2"/>
      <w:r>
        <w:rPr>
          <w:rFonts w:hint="eastAsia" w:ascii="仿宋_GB2312" w:eastAsia="仿宋_GB2312"/>
          <w:sz w:val="32"/>
          <w:szCs w:val="32"/>
        </w:rPr>
        <w:t>课题经费中国家级课题投入</w:t>
      </w:r>
      <w:bookmarkEnd w:id="1"/>
      <w:r>
        <w:rPr>
          <w:rFonts w:hint="eastAsia" w:ascii="仿宋_GB2312" w:eastAsia="仿宋_GB2312"/>
          <w:sz w:val="32"/>
          <w:szCs w:val="32"/>
        </w:rPr>
        <w:t>4693万元，支出5537万元。</w:t>
      </w:r>
    </w:p>
    <w:p>
      <w:pPr>
        <w:spacing w:before="100" w:beforeAutospacing="1" w:after="100" w:afterAutospacing="1" w:line="400" w:lineRule="exact"/>
        <w:ind w:firstLine="790" w:firstLineChars="24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（四）人文社科成果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我省普通高校出版著作849部（其中专著503部），比上年减少103部；发表学术论文11631篇，比上年减少170篇。</w:t>
      </w:r>
    </w:p>
    <w:p>
      <w:pPr>
        <w:spacing w:line="520" w:lineRule="exact"/>
        <w:ind w:left="160" w:leftChars="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我省普通高校获奖成果（省部级以上）517项，其中部级奖12项，省级奖505项；被采纳成果921项。</w:t>
      </w:r>
    </w:p>
    <w:p>
      <w:pPr>
        <w:spacing w:line="520" w:lineRule="exact"/>
        <w:ind w:left="160" w:leftChars="76"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spacing w:line="520" w:lineRule="exact"/>
        <w:ind w:left="160" w:leftChars="76"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spacing w:line="520" w:lineRule="exact"/>
        <w:ind w:left="160" w:leftChars="76" w:firstLine="562" w:firstLineChars="200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注释：本公报数据来源于全省普通高校及医学院校附属医院上报的《2021年度科技/社科统计报表》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8B634A-119F-4891-8DE6-AE44DD2AA5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3D6AE8-439A-49A0-98A9-019AC746601F}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045EFBC-BD4C-46CB-B471-140691A18A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4</w:t>
    </w:r>
    <w:r>
      <w:rPr>
        <w:rStyle w:val="1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NWRlNGUyODQxN2VjNWNlYTZiNTM1ZTM3NzFjMTYifQ=="/>
  </w:docVars>
  <w:rsids>
    <w:rsidRoot w:val="00101B70"/>
    <w:rsid w:val="0000351A"/>
    <w:rsid w:val="000046B5"/>
    <w:rsid w:val="00030EEF"/>
    <w:rsid w:val="00055911"/>
    <w:rsid w:val="000844EB"/>
    <w:rsid w:val="00092CFA"/>
    <w:rsid w:val="000A65B5"/>
    <w:rsid w:val="000A74EC"/>
    <w:rsid w:val="00101B70"/>
    <w:rsid w:val="00126DB0"/>
    <w:rsid w:val="00134F9D"/>
    <w:rsid w:val="0014203F"/>
    <w:rsid w:val="00175D27"/>
    <w:rsid w:val="00183A30"/>
    <w:rsid w:val="001A10DC"/>
    <w:rsid w:val="001D4483"/>
    <w:rsid w:val="001E2B2F"/>
    <w:rsid w:val="001E388B"/>
    <w:rsid w:val="001E5B8B"/>
    <w:rsid w:val="0021084D"/>
    <w:rsid w:val="00236FCD"/>
    <w:rsid w:val="0029131B"/>
    <w:rsid w:val="002A037F"/>
    <w:rsid w:val="002A1874"/>
    <w:rsid w:val="002A6AAB"/>
    <w:rsid w:val="002C7596"/>
    <w:rsid w:val="00305EBF"/>
    <w:rsid w:val="00342F25"/>
    <w:rsid w:val="003706FA"/>
    <w:rsid w:val="003907B6"/>
    <w:rsid w:val="003920AB"/>
    <w:rsid w:val="003E4489"/>
    <w:rsid w:val="00421887"/>
    <w:rsid w:val="004403C5"/>
    <w:rsid w:val="00451DB2"/>
    <w:rsid w:val="00453282"/>
    <w:rsid w:val="0046533C"/>
    <w:rsid w:val="00471399"/>
    <w:rsid w:val="00480065"/>
    <w:rsid w:val="004B78A6"/>
    <w:rsid w:val="004C7230"/>
    <w:rsid w:val="00504AB7"/>
    <w:rsid w:val="00523F8E"/>
    <w:rsid w:val="00531784"/>
    <w:rsid w:val="005353B4"/>
    <w:rsid w:val="005810AE"/>
    <w:rsid w:val="00582724"/>
    <w:rsid w:val="005B6DF5"/>
    <w:rsid w:val="005E1D8B"/>
    <w:rsid w:val="005E4EDE"/>
    <w:rsid w:val="006069BB"/>
    <w:rsid w:val="0060781F"/>
    <w:rsid w:val="00633075"/>
    <w:rsid w:val="00636AA7"/>
    <w:rsid w:val="006A6EDA"/>
    <w:rsid w:val="006E3AE4"/>
    <w:rsid w:val="006F3181"/>
    <w:rsid w:val="00735458"/>
    <w:rsid w:val="00757EF9"/>
    <w:rsid w:val="007732E0"/>
    <w:rsid w:val="007757E2"/>
    <w:rsid w:val="00811F42"/>
    <w:rsid w:val="0081799F"/>
    <w:rsid w:val="00821DD2"/>
    <w:rsid w:val="00827597"/>
    <w:rsid w:val="00841A43"/>
    <w:rsid w:val="00857C8C"/>
    <w:rsid w:val="00874815"/>
    <w:rsid w:val="008A1A66"/>
    <w:rsid w:val="008A2265"/>
    <w:rsid w:val="008E245C"/>
    <w:rsid w:val="008F5C18"/>
    <w:rsid w:val="00920A18"/>
    <w:rsid w:val="00921EAB"/>
    <w:rsid w:val="00930BBD"/>
    <w:rsid w:val="00963766"/>
    <w:rsid w:val="009E5A09"/>
    <w:rsid w:val="009E6E40"/>
    <w:rsid w:val="009F7882"/>
    <w:rsid w:val="00A200CD"/>
    <w:rsid w:val="00A62BC0"/>
    <w:rsid w:val="00AB6CF7"/>
    <w:rsid w:val="00AC2EC0"/>
    <w:rsid w:val="00AF4A03"/>
    <w:rsid w:val="00B413D2"/>
    <w:rsid w:val="00BB13DB"/>
    <w:rsid w:val="00C81213"/>
    <w:rsid w:val="00CA0C56"/>
    <w:rsid w:val="00CB0131"/>
    <w:rsid w:val="00CB687C"/>
    <w:rsid w:val="00CC093F"/>
    <w:rsid w:val="00CD03FA"/>
    <w:rsid w:val="00CE3A3A"/>
    <w:rsid w:val="00D13953"/>
    <w:rsid w:val="00D1685E"/>
    <w:rsid w:val="00D36CBA"/>
    <w:rsid w:val="00D711DF"/>
    <w:rsid w:val="00D90466"/>
    <w:rsid w:val="00DA713B"/>
    <w:rsid w:val="00DB3FED"/>
    <w:rsid w:val="00DB663B"/>
    <w:rsid w:val="00DF2A20"/>
    <w:rsid w:val="00DF7F74"/>
    <w:rsid w:val="00E67612"/>
    <w:rsid w:val="00EC2FAA"/>
    <w:rsid w:val="00ED516B"/>
    <w:rsid w:val="00EF253E"/>
    <w:rsid w:val="00F915EA"/>
    <w:rsid w:val="00F97EEB"/>
    <w:rsid w:val="00FC7C28"/>
    <w:rsid w:val="00FD66AC"/>
    <w:rsid w:val="00FF0419"/>
    <w:rsid w:val="442D2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00" w:beforeAutospacing="1" w:after="100" w:afterAutospacing="1"/>
      <w:jc w:val="center"/>
    </w:pPr>
    <w:rPr>
      <w:rFonts w:ascii="仿宋_GB2312" w:eastAsia="仿宋_GB2312"/>
      <w:color w:val="00007F"/>
      <w:sz w:val="24"/>
      <w:szCs w:val="18"/>
    </w:rPr>
  </w:style>
  <w:style w:type="paragraph" w:styleId="3">
    <w:name w:val="Body Text Indent"/>
    <w:basedOn w:val="1"/>
    <w:qFormat/>
    <w:uiPriority w:val="0"/>
    <w:pPr>
      <w:spacing w:before="100" w:beforeAutospacing="1" w:after="100" w:afterAutospacing="1" w:line="480" w:lineRule="exact"/>
      <w:ind w:firstLine="570"/>
    </w:pPr>
    <w:rPr>
      <w:rFonts w:ascii="仿宋_GB2312" w:eastAsia="仿宋_GB2312"/>
      <w:b/>
      <w:bCs/>
      <w:sz w:val="32"/>
    </w:rPr>
  </w:style>
  <w:style w:type="paragraph" w:styleId="4">
    <w:name w:val="Body Text Indent 2"/>
    <w:basedOn w:val="1"/>
    <w:qFormat/>
    <w:uiPriority w:val="0"/>
    <w:pPr>
      <w:spacing w:before="100" w:beforeAutospacing="1" w:after="100" w:afterAutospacing="1" w:line="580" w:lineRule="exact"/>
      <w:ind w:firstLine="570"/>
    </w:pPr>
    <w:rPr>
      <w:rFonts w:ascii="仿宋_GB2312" w:eastAsia="仿宋_GB2312"/>
      <w:sz w:val="32"/>
    </w:r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11">
    <w:name w:val="page number"/>
    <w:basedOn w:val="10"/>
    <w:uiPriority w:val="0"/>
  </w:style>
  <w:style w:type="paragraph" w:customStyle="1" w:styleId="12">
    <w:name w:val="td_6px_bg_green"/>
    <w:basedOn w:val="1"/>
    <w:uiPriority w:val="0"/>
    <w:pPr>
      <w:widowControl/>
      <w:shd w:val="clear" w:color="auto" w:fill="78BF7C"/>
      <w:spacing w:before="100" w:beforeAutospacing="1" w:after="100" w:afterAutospacing="1"/>
      <w:jc w:val="left"/>
    </w:pPr>
    <w:rPr>
      <w:rFonts w:ascii="宋体"/>
      <w:kern w:val="0"/>
      <w:sz w:val="9"/>
      <w:szCs w:val="9"/>
    </w:rPr>
  </w:style>
  <w:style w:type="paragraph" w:customStyle="1" w:styleId="13">
    <w:name w:val="td_4px_bg_green"/>
    <w:basedOn w:val="1"/>
    <w:uiPriority w:val="0"/>
    <w:pPr>
      <w:widowControl/>
      <w:shd w:val="clear" w:color="auto" w:fill="78BF7C"/>
      <w:spacing w:before="100" w:beforeAutospacing="1" w:after="100" w:afterAutospacing="1"/>
      <w:jc w:val="left"/>
    </w:pPr>
    <w:rPr>
      <w:rFonts w:ascii="宋体"/>
      <w:kern w:val="0"/>
      <w:sz w:val="6"/>
      <w:szCs w:val="6"/>
    </w:rPr>
  </w:style>
  <w:style w:type="paragraph" w:customStyle="1" w:styleId="14">
    <w:name w:val="td_60px_rd_block"/>
    <w:basedOn w:val="1"/>
    <w:qFormat/>
    <w:uiPriority w:val="0"/>
    <w:pPr>
      <w:widowControl/>
      <w:pBdr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pBdr>
      <w:spacing w:before="100" w:beforeAutospacing="1" w:after="100" w:afterAutospacing="1"/>
      <w:jc w:val="left"/>
    </w:pPr>
    <w:rPr>
      <w:rFonts w:ascii="宋体"/>
      <w:kern w:val="0"/>
      <w:sz w:val="90"/>
      <w:szCs w:val="90"/>
    </w:rPr>
  </w:style>
  <w:style w:type="paragraph" w:customStyle="1" w:styleId="15">
    <w:name w:val="td_12px_bg_green"/>
    <w:basedOn w:val="1"/>
    <w:uiPriority w:val="0"/>
    <w:pPr>
      <w:widowControl/>
      <w:shd w:val="clear" w:color="auto" w:fill="78BF7C"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6">
    <w:name w:val="td_14px_bg_green"/>
    <w:basedOn w:val="1"/>
    <w:uiPriority w:val="0"/>
    <w:pPr>
      <w:widowControl/>
      <w:shd w:val="clear" w:color="auto" w:fill="78BF7C"/>
      <w:spacing w:before="100" w:beforeAutospacing="1" w:after="100" w:afterAutospacing="1"/>
      <w:jc w:val="left"/>
    </w:pPr>
    <w:rPr>
      <w:rFonts w:ascii="宋体"/>
      <w:kern w:val="0"/>
      <w:szCs w:val="21"/>
    </w:rPr>
  </w:style>
  <w:style w:type="paragraph" w:customStyle="1" w:styleId="17">
    <w:name w:val="td_14px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Cs w:val="21"/>
    </w:rPr>
  </w:style>
  <w:style w:type="paragraph" w:customStyle="1" w:styleId="18">
    <w:name w:val="td_12px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9">
    <w:name w:val="td_13px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20">
    <w:name w:val="td_15px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3"/>
      <w:szCs w:val="23"/>
    </w:rPr>
  </w:style>
  <w:style w:type="paragraph" w:customStyle="1" w:styleId="21">
    <w:name w:val="td_16px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22">
    <w:name w:val="td_6px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9"/>
      <w:szCs w:val="9"/>
    </w:rPr>
  </w:style>
  <w:style w:type="paragraph" w:customStyle="1" w:styleId="23">
    <w:name w:val="td_7px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1"/>
      <w:szCs w:val="11"/>
    </w:rPr>
  </w:style>
  <w:style w:type="paragraph" w:customStyle="1" w:styleId="24">
    <w:name w:val="td_1px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"/>
      <w:szCs w:val="2"/>
    </w:rPr>
  </w:style>
  <w:style w:type="paragraph" w:customStyle="1" w:styleId="25">
    <w:name w:val="td_2px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3"/>
      <w:szCs w:val="3"/>
    </w:rPr>
  </w:style>
  <w:style w:type="paragraph" w:customStyle="1" w:styleId="26">
    <w:name w:val="td_3px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5"/>
      <w:szCs w:val="5"/>
    </w:rPr>
  </w:style>
  <w:style w:type="paragraph" w:customStyle="1" w:styleId="27">
    <w:name w:val="td_4px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6"/>
      <w:szCs w:val="6"/>
    </w:rPr>
  </w:style>
  <w:style w:type="paragraph" w:customStyle="1" w:styleId="28">
    <w:name w:val="td_5px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8"/>
      <w:szCs w:val="8"/>
    </w:rPr>
  </w:style>
  <w:style w:type="paragraph" w:customStyle="1" w:styleId="29">
    <w:name w:val="td_12px_3d_01"/>
    <w:basedOn w:val="1"/>
    <w:qFormat/>
    <w:uiPriority w:val="0"/>
    <w:pPr>
      <w:widowControl/>
      <w:pBdr>
        <w:left w:val="single" w:color="509090" w:sz="6" w:space="0"/>
        <w:bottom w:val="single" w:color="509090" w:sz="6" w:space="0"/>
        <w:right w:val="single" w:color="509090" w:sz="6" w:space="0"/>
      </w:pBdr>
      <w:shd w:val="clear" w:color="auto" w:fill="F0FFF0"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30">
    <w:name w:val="td_12px_3d_02"/>
    <w:basedOn w:val="1"/>
    <w:qFormat/>
    <w:uiPriority w:val="0"/>
    <w:pPr>
      <w:widowControl/>
      <w:pBdr>
        <w:left w:val="single" w:color="FFCF5D" w:sz="6" w:space="0"/>
        <w:bottom w:val="single" w:color="FFCF5D" w:sz="6" w:space="0"/>
        <w:right w:val="single" w:color="FFCF5D" w:sz="6" w:space="0"/>
      </w:pBdr>
      <w:shd w:val="clear" w:color="auto" w:fill="FFFFD8"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31">
    <w:name w:val="td_12px_3d_03"/>
    <w:basedOn w:val="1"/>
    <w:qFormat/>
    <w:uiPriority w:val="0"/>
    <w:pPr>
      <w:widowControl/>
      <w:pBdr>
        <w:left w:val="single" w:color="C00000" w:sz="6" w:space="0"/>
        <w:bottom w:val="single" w:color="C00000" w:sz="6" w:space="0"/>
        <w:right w:val="single" w:color="C00000" w:sz="6" w:space="0"/>
      </w:pBdr>
      <w:shd w:val="clear" w:color="auto" w:fill="FFFFD8"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32">
    <w:name w:val="td_12px_3d_04"/>
    <w:basedOn w:val="1"/>
    <w:qFormat/>
    <w:uiPriority w:val="0"/>
    <w:pPr>
      <w:widowControl/>
      <w:pBdr>
        <w:left w:val="single" w:color="4F98E0" w:sz="6" w:space="0"/>
        <w:bottom w:val="single" w:color="4F98E0" w:sz="6" w:space="0"/>
        <w:right w:val="single" w:color="4F98E0" w:sz="6" w:space="0"/>
      </w:pBdr>
      <w:shd w:val="clear" w:color="auto" w:fill="FFFFFF"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33">
    <w:name w:val="td_12px_3d_05"/>
    <w:basedOn w:val="1"/>
    <w:uiPriority w:val="0"/>
    <w:pPr>
      <w:widowControl/>
      <w:pBdr>
        <w:bottom w:val="single" w:color="509090" w:sz="6" w:space="0"/>
      </w:pBdr>
      <w:shd w:val="clear" w:color="auto" w:fill="F0FFF0"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34">
    <w:name w:val="td_12px_3d_06"/>
    <w:basedOn w:val="1"/>
    <w:qFormat/>
    <w:uiPriority w:val="0"/>
    <w:pPr>
      <w:widowControl/>
      <w:pBdr>
        <w:left w:val="single" w:color="EF307B" w:sz="6" w:space="0"/>
        <w:bottom w:val="single" w:color="EF307B" w:sz="6" w:space="0"/>
        <w:right w:val="single" w:color="EF307B" w:sz="6" w:space="0"/>
      </w:pBdr>
      <w:shd w:val="clear" w:color="auto" w:fill="FFEFFF"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35">
    <w:name w:val="td_12px_3d_11"/>
    <w:basedOn w:val="1"/>
    <w:uiPriority w:val="0"/>
    <w:pPr>
      <w:widowControl/>
      <w:pBdr>
        <w:top w:val="single" w:color="4F98E0" w:sz="6" w:space="0"/>
        <w:left w:val="single" w:color="4F98E0" w:sz="6" w:space="0"/>
        <w:bottom w:val="single" w:color="4F98E0" w:sz="6" w:space="0"/>
      </w:pBdr>
      <w:shd w:val="clear" w:color="auto" w:fill="FFFFFF"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36">
    <w:name w:val="td_12px_3d_12"/>
    <w:basedOn w:val="1"/>
    <w:qFormat/>
    <w:uiPriority w:val="0"/>
    <w:pPr>
      <w:widowControl/>
      <w:pBdr>
        <w:top w:val="single" w:color="4F98E0" w:sz="6" w:space="0"/>
        <w:bottom w:val="single" w:color="4F98E0" w:sz="6" w:space="0"/>
        <w:right w:val="single" w:color="4F98E0" w:sz="6" w:space="0"/>
      </w:pBdr>
      <w:shd w:val="clear" w:color="auto" w:fill="FFFFFF"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37">
    <w:name w:val="f7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1"/>
      <w:szCs w:val="11"/>
    </w:rPr>
  </w:style>
  <w:style w:type="paragraph" w:customStyle="1" w:styleId="38">
    <w:name w:val="l17"/>
    <w:basedOn w:val="1"/>
    <w:uiPriority w:val="0"/>
    <w:pPr>
      <w:widowControl/>
      <w:spacing w:before="100" w:beforeAutospacing="1" w:after="100" w:afterAutospacing="1" w:line="309" w:lineRule="auto"/>
      <w:jc w:val="left"/>
    </w:pPr>
    <w:rPr>
      <w:rFonts w:ascii="宋体"/>
      <w:kern w:val="0"/>
      <w:sz w:val="24"/>
    </w:rPr>
  </w:style>
  <w:style w:type="paragraph" w:customStyle="1" w:styleId="39">
    <w:name w:val="td_b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40">
    <w:name w:val="Char"/>
    <w:basedOn w:val="1"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297F1-47D5-48CF-9C75-4A785148EF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289</Words>
  <Characters>1651</Characters>
  <Lines>13</Lines>
  <Paragraphs>3</Paragraphs>
  <TotalTime>14</TotalTime>
  <ScaleCrop>false</ScaleCrop>
  <LinksUpToDate>false</LinksUpToDate>
  <CharactersWithSpaces>1937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2022-07-05T00:53:00Z</dcterms:created>
  <dc:creator>Billgates</dc:creator>
  <cp:lastModifiedBy>赵炜浓</cp:lastModifiedBy>
  <cp:lastPrinted>2018-04-16T06:39:00Z</cp:lastPrinted>
  <dcterms:modified xsi:type="dcterms:W3CDTF">2022-07-12T02:40:58Z</dcterms:modified>
  <dc:title>一、     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3E8175FC319944A09904E962CC866C20</vt:lpwstr>
  </property>
</Properties>
</file>